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cs="Arial"/>
          <w:szCs w:val="20"/>
        </w:rPr>
      </w:pPr>
      <w:r>
        <w:rPr>
          <w:rFonts w:cs="Arial"/>
          <w:b/>
          <w:caps/>
          <w:szCs w:val="20"/>
        </w:rPr>
        <w:t>DOHODA O SLOŽENÍ BLOKOVACÍHO DEPOZITA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color w:val="auto"/>
          <w:kern w:val="0"/>
          <w:sz w:val="20"/>
          <w:szCs w:val="22"/>
          <w:shd w:fill="auto" w:val="clear"/>
          <w:lang w:val="cs-CZ" w:eastAsia="cs-CZ" w:bidi="ar-SA"/>
        </w:rPr>
      </w:pPr>
      <w:r>
        <w:rPr>
          <w:rFonts w:eastAsia="Times New Roman" w:cs="Arial"/>
          <w:b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xxxxxxxxx</w:t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shd w:fill="auto" w:val="clear"/>
        </w:rPr>
        <w:t xml:space="preserve">dat. nar. 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</w:t>
      </w:r>
    </w:p>
    <w:p>
      <w:pPr>
        <w:pStyle w:val="Normal"/>
        <w:spacing w:lineRule="auto" w:line="276"/>
        <w:jc w:val="left"/>
        <w:rPr>
          <w:shd w:fill="auto" w:val="clear"/>
        </w:rPr>
      </w:pPr>
      <w:r>
        <w:rPr>
          <w:rFonts w:cs="Arial"/>
          <w:shd w:fill="auto" w:val="clear"/>
        </w:rPr>
        <w:t xml:space="preserve">trvale bytem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</w:t>
      </w:r>
      <w:r>
        <w:rPr>
          <w:rFonts w:cs="Arial"/>
          <w:shd w:fill="auto" w:val="clear"/>
        </w:rPr>
        <w:br/>
        <w:t>a</w:t>
        <w:br/>
      </w:r>
      <w:r>
        <w:rPr>
          <w:rFonts w:eastAsia="Times New Roman" w:cs="Arial"/>
          <w:b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</w:t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shd w:fill="auto" w:val="clear"/>
        </w:rPr>
        <w:t xml:space="preserve">dat. nar. 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</w:t>
      </w:r>
    </w:p>
    <w:p>
      <w:pPr>
        <w:pStyle w:val="Normal"/>
        <w:spacing w:lineRule="auto" w:line="276"/>
        <w:jc w:val="left"/>
        <w:rPr>
          <w:shd w:fill="auto" w:val="clear"/>
        </w:rPr>
      </w:pPr>
      <w:r>
        <w:rPr>
          <w:rFonts w:cs="Arial"/>
          <w:shd w:fill="auto" w:val="clear"/>
        </w:rPr>
        <w:t xml:space="preserve">trvale bytem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xxxxxxxxx</w:t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Zájemce</w:t>
      </w:r>
      <w:r>
        <w:rPr>
          <w:rFonts w:cs="Arial"/>
          <w:bCs/>
          <w:szCs w:val="20"/>
        </w:rPr>
        <w:t>“)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color w:val="auto"/>
          <w:kern w:val="0"/>
          <w:sz w:val="20"/>
          <w:szCs w:val="22"/>
          <w:lang w:val="cs-CZ" w:eastAsia="cs-CZ" w:bidi="ar-SA"/>
        </w:rPr>
      </w:pPr>
      <w:r>
        <w:rPr>
          <w:rFonts w:eastAsia="Times New Roman" w:cs="Arial"/>
          <w:b/>
          <w:color w:val="auto"/>
          <w:kern w:val="0"/>
          <w:sz w:val="20"/>
          <w:szCs w:val="22"/>
          <w:lang w:val="cs-CZ" w:eastAsia="cs-CZ" w:bidi="ar-SA"/>
        </w:rPr>
        <w:t>xxxxx</w:t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shd w:fill="auto" w:val="clear"/>
        </w:rPr>
        <w:t xml:space="preserve">dat. nar.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</w:t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shd w:fill="auto" w:val="clear"/>
        </w:rPr>
        <w:t xml:space="preserve">trvale bytem </w:t>
      </w:r>
      <w:r>
        <w:rPr>
          <w:rFonts w:eastAsia="Times New Roman" w:cs="Arial"/>
          <w:color w:val="000000"/>
          <w:kern w:val="0"/>
          <w:sz w:val="20"/>
          <w:szCs w:val="22"/>
          <w:shd w:fill="auto" w:val="clear"/>
          <w:lang w:val="cs-CZ" w:eastAsia="cs-CZ" w:bidi="ar-SA"/>
        </w:rPr>
        <w:t>xxxxxxxxxxxx</w:t>
      </w:r>
    </w:p>
    <w:p>
      <w:pPr>
        <w:pStyle w:val="Normal"/>
        <w:spacing w:lineRule="auto" w:line="276" w:before="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Prodávající</w:t>
      </w:r>
      <w:r>
        <w:rPr>
          <w:rFonts w:cs="Arial"/>
          <w:bCs/>
          <w:szCs w:val="20"/>
        </w:rPr>
        <w:t>“)</w:t>
      </w:r>
    </w:p>
    <w:p>
      <w:pPr>
        <w:pStyle w:val="Normal"/>
        <w:spacing w:lineRule="auto" w:line="276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/>
        <w:rPr>
          <w:rFonts w:cs="Arial"/>
        </w:rPr>
      </w:pPr>
      <w:r>
        <w:rPr>
          <w:rFonts w:cs="Arial"/>
        </w:rPr>
        <w:t>za vedlejší účasti:</w:t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b/>
          <w:shd w:fill="auto" w:val="clear"/>
        </w:rPr>
        <w:t>Horizont Real s.r.o.</w:t>
      </w:r>
    </w:p>
    <w:p>
      <w:pPr>
        <w:pStyle w:val="Normal"/>
        <w:spacing w:lineRule="auto" w:line="276"/>
        <w:rPr>
          <w:b w:val="false"/>
          <w:b w:val="false"/>
          <w:bCs w:val="false"/>
          <w:shd w:fill="auto" w:val="clear"/>
        </w:rPr>
      </w:pPr>
      <w:r>
        <w:rPr>
          <w:rFonts w:cs="Arial"/>
          <w:b w:val="false"/>
          <w:bCs w:val="false"/>
          <w:shd w:fill="auto" w:val="clear"/>
        </w:rPr>
        <w:t>IČO: 072 26 730</w:t>
      </w:r>
    </w:p>
    <w:p>
      <w:pPr>
        <w:pStyle w:val="Normal"/>
        <w:spacing w:lineRule="auto" w:line="276"/>
        <w:rPr>
          <w:b w:val="false"/>
          <w:b w:val="false"/>
          <w:bCs w:val="false"/>
          <w:shd w:fill="auto" w:val="clear"/>
        </w:rPr>
      </w:pPr>
      <w:r>
        <w:rPr>
          <w:rFonts w:cs="Arial"/>
          <w:b w:val="false"/>
          <w:bCs w:val="false"/>
          <w:shd w:fill="auto" w:val="clear"/>
        </w:rPr>
        <w:t>se sídlem Náchodská 778/49, 193 00 Praha 9</w:t>
      </w:r>
    </w:p>
    <w:p>
      <w:pPr>
        <w:pStyle w:val="Normal"/>
        <w:spacing w:lineRule="auto" w:line="276"/>
        <w:rPr>
          <w:b w:val="false"/>
          <w:b w:val="false"/>
          <w:bCs w:val="false"/>
          <w:shd w:fill="auto" w:val="clear"/>
        </w:rPr>
      </w:pPr>
      <w:r>
        <w:rPr>
          <w:rFonts w:cs="Arial"/>
          <w:b w:val="false"/>
          <w:bCs w:val="false"/>
          <w:shd w:fill="auto" w:val="clear"/>
        </w:rPr>
        <w:t>zapsaná v obchodním rejstříku vedeném Městským soudem v Praze oddíl C, vložka 297131</w:t>
      </w:r>
    </w:p>
    <w:p>
      <w:pPr>
        <w:pStyle w:val="Normal"/>
        <w:spacing w:lineRule="auto" w:line="276"/>
        <w:rPr>
          <w:b w:val="false"/>
          <w:b w:val="false"/>
          <w:bCs w:val="false"/>
          <w:shd w:fill="auto" w:val="clear"/>
        </w:rPr>
      </w:pPr>
      <w:r>
        <w:rPr>
          <w:rFonts w:cs="Arial"/>
          <w:b w:val="false"/>
          <w:bCs w:val="false"/>
          <w:shd w:fill="auto" w:val="clear"/>
        </w:rPr>
        <w:t xml:space="preserve">bankovní účet č. </w:t>
      </w:r>
      <w:r>
        <w:rPr>
          <w:rFonts w:cs="Arial"/>
          <w:b/>
          <w:bCs/>
          <w:color w:val="06339C"/>
          <w:shd w:fill="auto" w:val="clear"/>
        </w:rPr>
        <w:t>286631405/0300</w:t>
      </w:r>
      <w:r>
        <w:rPr>
          <w:rFonts w:cs="Arial"/>
          <w:b w:val="false"/>
          <w:bCs w:val="false"/>
          <w:shd w:fill="auto" w:val="clear"/>
        </w:rPr>
        <w:t xml:space="preserve">, vedený u ČSOB, a.s., VS: </w:t>
      </w:r>
      <w:r>
        <w:rPr>
          <w:rFonts w:cs="Arial"/>
          <w:b/>
          <w:bCs/>
          <w:color w:val="06339C"/>
          <w:shd w:fill="auto" w:val="clear"/>
        </w:rPr>
        <w:t>7</w:t>
      </w:r>
      <w:r>
        <w:rPr>
          <w:rFonts w:cs="Arial"/>
          <w:b/>
          <w:bCs/>
          <w:color w:val="06339C"/>
          <w:szCs w:val="22"/>
          <w:shd w:fill="auto" w:val="clear"/>
        </w:rPr>
        <w:t>753</w:t>
      </w:r>
      <w:r>
        <w:rPr>
          <w:rFonts w:cs="Arial"/>
          <w:b/>
          <w:bCs/>
          <w:color w:val="06339C"/>
          <w:shd w:fill="auto" w:val="clear"/>
        </w:rPr>
        <w:t>400</w:t>
        <w:tab/>
      </w:r>
    </w:p>
    <w:p>
      <w:pPr>
        <w:pStyle w:val="Normal"/>
        <w:spacing w:lineRule="auto" w:line="276"/>
        <w:rPr>
          <w:shd w:fill="auto" w:val="clear"/>
        </w:rPr>
      </w:pPr>
      <w:r>
        <w:rPr>
          <w:rFonts w:cs="Arial"/>
          <w:b w:val="false"/>
          <w:bCs w:val="false"/>
          <w:shd w:fill="auto" w:val="clear"/>
        </w:rPr>
        <w:t>zastoupená na základě plné moci</w:t>
      </w:r>
      <w:r>
        <w:rPr>
          <w:rFonts w:cs="Arial"/>
          <w:b/>
          <w:shd w:fill="auto" w:val="clear"/>
        </w:rPr>
        <w:t xml:space="preserve"> Ing. Markem Bartoškem</w:t>
      </w:r>
    </w:p>
    <w:p>
      <w:pPr>
        <w:pStyle w:val="Normal"/>
        <w:spacing w:lineRule="auto" w:line="276" w:before="0" w:after="1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Realitní kancelář RE/MAX</w:t>
      </w:r>
      <w:r>
        <w:rPr>
          <w:rFonts w:cs="Arial"/>
          <w:bCs/>
          <w:szCs w:val="20"/>
        </w:rPr>
        <w:t>“)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(Zájemce a Prodávající </w:t>
      </w:r>
      <w:r>
        <w:rPr>
          <w:rFonts w:cs="Arial"/>
          <w:szCs w:val="20"/>
        </w:rPr>
        <w:t>společně též označováni jako „</w:t>
      </w:r>
      <w:r>
        <w:rPr>
          <w:rFonts w:cs="Arial"/>
          <w:b/>
          <w:szCs w:val="20"/>
        </w:rPr>
        <w:t>Smluvní strany</w:t>
      </w:r>
      <w:r>
        <w:rPr>
          <w:rFonts w:cs="Arial"/>
          <w:szCs w:val="20"/>
        </w:rPr>
        <w:t>“ nebo jednotlivě „</w:t>
      </w:r>
      <w:r>
        <w:rPr>
          <w:rFonts w:cs="Arial"/>
          <w:b/>
          <w:szCs w:val="20"/>
        </w:rPr>
        <w:t>Smluvní strana</w:t>
      </w:r>
      <w:r>
        <w:rPr>
          <w:rFonts w:cs="Arial"/>
          <w:szCs w:val="20"/>
        </w:rPr>
        <w:t>“)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276" w:before="0" w:after="120"/>
        <w:rPr>
          <w:rFonts w:cs="Arial"/>
          <w:szCs w:val="20"/>
        </w:rPr>
      </w:pPr>
      <w:r>
        <w:rPr>
          <w:rFonts w:cs="Arial"/>
          <w:szCs w:val="20"/>
        </w:rPr>
        <w:t>uzavřeli níže uvedeného dne, měsíce a roku v souladu s ustanovením § 1746 odst. 2 a násl. ve spojení s ustanovením 1785 a násl. zákona číslo 89/2012 Sb., občanský zákoník, v aktuálním znění, tuto dohodu o složení blokovacího depozita (dále jen „</w:t>
      </w:r>
      <w:r>
        <w:rPr>
          <w:rFonts w:cs="Arial"/>
          <w:b/>
          <w:szCs w:val="20"/>
        </w:rPr>
        <w:t>Dohoda</w:t>
      </w:r>
      <w:r>
        <w:rPr>
          <w:rFonts w:cs="Arial"/>
          <w:szCs w:val="20"/>
        </w:rPr>
        <w:t>“):</w:t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PŘEDMĚT Dohody</w:t>
      </w:r>
    </w:p>
    <w:p>
      <w:pPr>
        <w:pStyle w:val="ListNumber2"/>
        <w:numPr>
          <w:ilvl w:val="0"/>
          <w:numId w:val="0"/>
        </w:numPr>
        <w:tabs>
          <w:tab w:val="clear" w:pos="708"/>
          <w:tab w:val="left" w:pos="5565" w:leader="none"/>
        </w:tabs>
        <w:spacing w:lineRule="auto" w:line="276"/>
        <w:ind w:left="1191" w:hanging="0"/>
        <w:rPr>
          <w:rFonts w:cs="Arial"/>
          <w:szCs w:val="20"/>
          <w:highlight w:val="yellow"/>
        </w:rPr>
      </w:pPr>
      <w:r>
        <w:rPr/>
      </w:r>
    </w:p>
    <w:p>
      <w:pPr>
        <w:pStyle w:val="ListNumber2"/>
        <w:numPr>
          <w:ilvl w:val="1"/>
          <w:numId w:val="5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Prodávající prohlašuje, že je vlastníkem následujících nemovitých věcí:</w:t>
      </w:r>
    </w:p>
    <w:p>
      <w:pPr>
        <w:pStyle w:val="ListNumber3"/>
        <w:numPr>
          <w:ilvl w:val="2"/>
          <w:numId w:val="6"/>
        </w:numPr>
        <w:spacing w:lineRule="auto" w:line="276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pozemku parc. č. </w:t>
      </w:r>
      <w:r>
        <w:rPr>
          <w:rFonts w:cs="Arial"/>
          <w:b/>
        </w:rPr>
        <w:t>(</w:t>
      </w:r>
      <w:r>
        <w:rPr>
          <w:rFonts w:cs="Arial"/>
          <w:b/>
          <w:highlight w:val="yellow"/>
        </w:rPr>
        <w:t>•</w:t>
      </w:r>
      <w:r>
        <w:rPr>
          <w:rFonts w:cs="Arial"/>
          <w:b/>
        </w:rPr>
        <w:t>)</w:t>
      </w:r>
      <w:r>
        <w:rPr>
          <w:rFonts w:cs="Arial"/>
        </w:rPr>
        <w:t xml:space="preserve"> </w:t>
      </w:r>
      <w:r>
        <w:rPr>
          <w:rFonts w:cs="Arial"/>
          <w:szCs w:val="20"/>
        </w:rPr>
        <w:t xml:space="preserve">o evidované výměře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druh pozemku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, na němž je postavena a jehož je součástí </w:t>
      </w:r>
      <w:r>
        <w:rPr>
          <w:rFonts w:cs="Arial"/>
          <w:b/>
          <w:szCs w:val="20"/>
        </w:rPr>
        <w:t xml:space="preserve">stavba č.p. </w:t>
      </w:r>
      <w:r>
        <w:rPr>
          <w:rFonts w:cs="Arial"/>
          <w:b/>
        </w:rPr>
        <w:t>(</w:t>
      </w:r>
      <w:r>
        <w:rPr>
          <w:rFonts w:cs="Arial"/>
          <w:b/>
          <w:highlight w:val="yellow"/>
        </w:rPr>
        <w:t>•</w:t>
      </w:r>
      <w:r>
        <w:rPr>
          <w:rFonts w:cs="Arial"/>
          <w:b/>
        </w:rPr>
        <w:t xml:space="preserve">) </w:t>
      </w:r>
      <w:r>
        <w:rPr>
          <w:rFonts w:cs="Arial"/>
          <w:b/>
          <w:highlight w:val="yellow"/>
        </w:rPr>
        <w:t>/</w:t>
      </w:r>
      <w:r>
        <w:rPr>
          <w:rFonts w:cs="Arial"/>
          <w:b/>
        </w:rPr>
        <w:t xml:space="preserve"> č.e. (</w:t>
      </w:r>
      <w:r>
        <w:rPr>
          <w:rFonts w:cs="Arial"/>
          <w:b/>
          <w:highlight w:val="yellow"/>
        </w:rPr>
        <w:t>•</w:t>
      </w:r>
      <w:r>
        <w:rPr>
          <w:rFonts w:cs="Arial"/>
          <w:b/>
        </w:rPr>
        <w:t xml:space="preserve">) </w:t>
      </w:r>
      <w:r>
        <w:rPr>
          <w:rFonts w:cs="Arial"/>
          <w:b/>
          <w:highlight w:val="yellow"/>
        </w:rPr>
        <w:t>/</w:t>
      </w:r>
      <w:r>
        <w:rPr>
          <w:rFonts w:cs="Arial"/>
          <w:b/>
        </w:rPr>
        <w:t xml:space="preserve"> </w:t>
      </w:r>
      <w:r>
        <w:rPr>
          <w:rFonts w:cs="Arial"/>
          <w:b/>
          <w:szCs w:val="20"/>
        </w:rPr>
        <w:t>bez č.p./č.e.</w:t>
      </w:r>
      <w:r>
        <w:rPr>
          <w:rFonts w:cs="Arial"/>
          <w:szCs w:val="20"/>
        </w:rPr>
        <w:t xml:space="preserve">, způsob využití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), v části obce 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>;</w:t>
      </w:r>
    </w:p>
    <w:p>
      <w:pPr>
        <w:pStyle w:val="ListNumber3"/>
        <w:numPr>
          <w:ilvl w:val="2"/>
          <w:numId w:val="7"/>
        </w:num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pozemku parc. č. </w:t>
      </w:r>
      <w:r>
        <w:rPr>
          <w:rFonts w:cs="Arial"/>
          <w:b/>
        </w:rPr>
        <w:t>(</w:t>
      </w:r>
      <w:r>
        <w:rPr>
          <w:rFonts w:cs="Arial"/>
          <w:b/>
          <w:highlight w:val="yellow"/>
        </w:rPr>
        <w:t>•</w:t>
      </w:r>
      <w:r>
        <w:rPr>
          <w:rFonts w:cs="Arial"/>
          <w:b/>
        </w:rPr>
        <w:t>)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o evidované výměře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druh pozemku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);</w:t>
      </w:r>
    </w:p>
    <w:p>
      <w:pPr>
        <w:pStyle w:val="ListNumber3"/>
        <w:numPr>
          <w:ilvl w:val="0"/>
          <w:numId w:val="0"/>
        </w:numPr>
        <w:ind w:left="1134" w:hanging="0"/>
        <w:rPr>
          <w:rFonts w:cs="Arial"/>
          <w:szCs w:val="20"/>
        </w:rPr>
      </w:pPr>
      <w:r>
        <w:rPr>
          <w:rFonts w:cs="Arial"/>
          <w:szCs w:val="20"/>
        </w:rPr>
        <w:t xml:space="preserve">všechny nemovité věci jsou vedeny na listu vlastnictví č.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 Katastrálním úřadem pro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, Katastrální pracoviště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, obec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 xml:space="preserve">) </w:t>
      </w:r>
      <w:r>
        <w:rPr>
          <w:rFonts w:cs="Arial"/>
          <w:szCs w:val="20"/>
        </w:rPr>
        <w:t xml:space="preserve">a katastrální území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</w:t>
      </w:r>
      <w:r>
        <w:rPr>
          <w:rFonts w:cs="Arial"/>
          <w:szCs w:val="20"/>
        </w:rPr>
        <w:t xml:space="preserve"> (dále jen „</w:t>
      </w:r>
      <w:r>
        <w:rPr>
          <w:rFonts w:cs="Arial"/>
          <w:b/>
          <w:szCs w:val="20"/>
        </w:rPr>
        <w:t>Nemovitosti</w:t>
      </w:r>
      <w:r>
        <w:rPr>
          <w:rFonts w:cs="Arial"/>
          <w:szCs w:val="20"/>
        </w:rPr>
        <w:t>“).</w:t>
      </w:r>
    </w:p>
    <w:p>
      <w:pPr>
        <w:pStyle w:val="ListNumber2"/>
        <w:numPr>
          <w:ilvl w:val="0"/>
          <w:numId w:val="0"/>
        </w:numPr>
        <w:spacing w:lineRule="auto" w:line="276"/>
        <w:ind w:left="1191" w:hanging="0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</w:r>
    </w:p>
    <w:p>
      <w:pPr>
        <w:pStyle w:val="ListNumber2"/>
        <w:numPr>
          <w:ilvl w:val="1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Zájemce a Prodávající se touto Dohodou navzájem zavazují uzavřít kupní smlouvu (dále jen „</w:t>
      </w:r>
      <w:r>
        <w:rPr>
          <w:rFonts w:cs="Arial"/>
          <w:b/>
          <w:szCs w:val="20"/>
        </w:rPr>
        <w:t>Kupní smlouva</w:t>
      </w:r>
      <w:r>
        <w:rPr>
          <w:rFonts w:cs="Arial"/>
          <w:szCs w:val="20"/>
        </w:rPr>
        <w:t xml:space="preserve">“), jejímž předmětem bude převod vlastnického práva k Nemovitostem spolu s veškerými součástmi a příslušenstvím na Zájemce za kupní cenu ve výši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),- Kč (slovy: (</w:t>
      </w:r>
      <w:r>
        <w:rPr>
          <w:rFonts w:cs="Arial"/>
          <w:highlight w:val="yellow"/>
        </w:rPr>
        <w:t>•</w:t>
      </w:r>
      <w:r>
        <w:rPr>
          <w:rFonts w:cs="Arial"/>
        </w:rPr>
        <w:t>) korun českých).</w:t>
      </w:r>
      <w:r>
        <w:rPr>
          <w:rFonts w:cs="Arial"/>
          <w:szCs w:val="20"/>
        </w:rPr>
        <w:t xml:space="preserve"> </w:t>
      </w:r>
    </w:p>
    <w:p>
      <w:pPr>
        <w:pStyle w:val="ListNumber2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Prodávající se touto Dohodou zavazuje po dobu trvání této Dohody nepřevést Nemovitosti na jinou osobu.</w:t>
      </w:r>
    </w:p>
    <w:p>
      <w:pPr>
        <w:pStyle w:val="ListNumber2"/>
        <w:numPr>
          <w:ilvl w:val="1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Prodávající prohlašuje, že na základě smlouvy o poskytování realitních služeb pověřil Realitní kancelář RE/MAX výlučným zprostředkováním prodeje Nemovitostí a pověřil ji hájením zájmů Prodávajícího. Realitní kancelář RE/MAX je Prodávajícím pověřena přijmout jako platební místo ve prospěch Prodávajícího peněžní prostředky od Zájemce, odpovídající níže definovanému blokovacímu depozitu nebo smluvní pokutě dle této Dohody, a do doby uzavření Kupní smlouvy je pro Prodávajícího opatrovat.</w:t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ÚHRADA BLOKOVACÍHO DEPOZITA</w:t>
      </w:r>
    </w:p>
    <w:p>
      <w:pPr>
        <w:pStyle w:val="ListNumber2"/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Zájemce se zavazuje uhradit Prodávajícímu rezervační poplatek za rezervaci Nemovitostí ve výši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>),- Kč (slovy: (</w:t>
      </w:r>
      <w:r>
        <w:rPr>
          <w:rFonts w:cs="Arial"/>
          <w:highlight w:val="yellow"/>
        </w:rPr>
        <w:t>•</w:t>
      </w:r>
      <w:r>
        <w:rPr>
          <w:rFonts w:cs="Arial"/>
        </w:rPr>
        <w:t>) korun českých) (dále jen „</w:t>
      </w:r>
      <w:r>
        <w:rPr>
          <w:rFonts w:cs="Arial"/>
          <w:b/>
        </w:rPr>
        <w:t>Blokovací depozitum</w:t>
      </w:r>
      <w:r>
        <w:rPr>
          <w:rFonts w:cs="Arial"/>
        </w:rPr>
        <w:t>“).</w:t>
      </w:r>
    </w:p>
    <w:p>
      <w:pPr>
        <w:pStyle w:val="ListNumber2"/>
        <w:numPr>
          <w:ilvl w:val="1"/>
          <w:numId w:val="12"/>
        </w:numPr>
        <w:rPr>
          <w:rFonts w:cs="Arial"/>
          <w:szCs w:val="20"/>
        </w:rPr>
      </w:pPr>
      <w:r>
        <w:rPr>
          <w:rFonts w:cs="Arial"/>
        </w:rPr>
        <w:t xml:space="preserve">Zájemce uhradí Blokovací depozitum Prodávajícímu do 3 pracovních dnů od uzavření této Dohody, a to dle výslovného určení Prodávajícího na bankovní účet Realitní kanceláře RE/MAX uvedený v záhlaví této Dohody pod variabilním symbolem </w:t>
      </w:r>
      <w:r>
        <w:rPr>
          <w:rFonts w:cs="Arial"/>
          <w:szCs w:val="22"/>
        </w:rPr>
        <w:t>uvedeným taktéž v záhlaví této Dohody</w:t>
      </w:r>
      <w:r>
        <w:rPr>
          <w:rFonts w:cs="Arial"/>
          <w:szCs w:val="20"/>
        </w:rPr>
        <w:t>. Nebude-li Blokovací depozitum uhrazeno řádně a včas, marným uplynutím lhůty dle předchozí věty se tato Dohoda od počátku ruší.</w:t>
      </w:r>
    </w:p>
    <w:p>
      <w:pPr>
        <w:pStyle w:val="ListNumber2"/>
        <w:numPr>
          <w:ilvl w:val="1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>Blokovací depozitum bude od okamžiku uzavření Kupní smlouvy považováno za úhradu první části kupní ceny Nemovitostí.</w:t>
      </w:r>
    </w:p>
    <w:p>
      <w:pPr>
        <w:pStyle w:val="ListNumber2"/>
        <w:numPr>
          <w:ilvl w:val="1"/>
          <w:numId w:val="14"/>
        </w:numPr>
        <w:rPr>
          <w:rFonts w:cs="Arial"/>
          <w:szCs w:val="20"/>
        </w:rPr>
      </w:pPr>
      <w:r>
        <w:rPr/>
        <w:t xml:space="preserve">Smluvní strany berou na vědomí, že Blokovací depozitum bude Realitní kanceláří RE/MAX poukázáno </w:t>
      </w:r>
      <w:r>
        <w:rPr>
          <w:rFonts w:cs="Arial"/>
          <w:szCs w:val="20"/>
        </w:rPr>
        <w:t xml:space="preserve">na příslušný účet advokátní úschovy uvedený pro tento účel výslovně v Kupní smlouvě, a to v den uzavření Kupní smlouvy, nikoli však dříve, než bude Realitní kanceláři RE/MAX taková uzavřená Kupní smlouva skutečně předložena.  </w:t>
      </w:r>
    </w:p>
    <w:p>
      <w:pPr>
        <w:pStyle w:val="ListNumber2"/>
        <w:numPr>
          <w:ilvl w:val="0"/>
          <w:numId w:val="0"/>
        </w:numPr>
        <w:ind w:left="1191" w:hanging="0"/>
        <w:rPr>
          <w:rFonts w:cs="Arial"/>
          <w:szCs w:val="20"/>
        </w:rPr>
      </w:pPr>
      <w:r>
        <w:rPr/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PRÁVA A POVINNOSTI SMLUVNÍCH STRAN</w:t>
      </w:r>
    </w:p>
    <w:p>
      <w:pPr>
        <w:pStyle w:val="ListNumber2"/>
        <w:numPr>
          <w:ilvl w:val="1"/>
          <w:numId w:val="15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Prodávající a Zájemce se vzájemně zavazují uzavřít Kupní smlouvu, a to bez zbytečného odkladu po vyzvání druhé Smluvní strany, nejpozději však do konce doby trvání této Dohody stanovené v článku 4.1. této Dohody.</w:t>
      </w:r>
    </w:p>
    <w:p>
      <w:pPr>
        <w:pStyle w:val="ListNumber2"/>
        <w:numPr>
          <w:ilvl w:val="1"/>
          <w:numId w:val="16"/>
        </w:numPr>
        <w:rPr>
          <w:rFonts w:cs="Arial"/>
          <w:szCs w:val="20"/>
        </w:rPr>
      </w:pPr>
      <w:r>
        <w:rPr>
          <w:rFonts w:cs="Arial"/>
          <w:szCs w:val="20"/>
        </w:rPr>
        <w:t>Zájemce a Prodávající se zavazují poskytnout nezbytnou součinnost, aby mohla být Kupní smlouva uzavřena v době trvání této Dohody.</w:t>
      </w:r>
    </w:p>
    <w:p>
      <w:pPr>
        <w:pStyle w:val="ListNumber2"/>
        <w:numPr>
          <w:ilvl w:val="1"/>
          <w:numId w:val="17"/>
        </w:numPr>
        <w:spacing w:lineRule="auto" w:line="276"/>
        <w:rPr/>
      </w:pPr>
      <w:r>
        <w:rPr>
          <w:rFonts w:cs="Arial"/>
          <w:szCs w:val="20"/>
        </w:rPr>
        <w:t xml:space="preserve">Zájemce prohlašuje a ujišťuje </w:t>
      </w:r>
      <w:r>
        <w:rPr/>
        <w:t>Prodávajícího</w:t>
      </w:r>
      <w:r>
        <w:rPr>
          <w:rFonts w:cs="Arial"/>
          <w:szCs w:val="20"/>
        </w:rPr>
        <w:t xml:space="preserve">, že </w:t>
      </w:r>
      <w:r>
        <w:rPr/>
        <w:t xml:space="preserve">disponuje dostatečnými peněžními prostředky a že je schopen doplatit a doplatí kupní cenu za převod Nemovitostí podle podmínek uvedených v této Dohodě. Zájemce prohlašuje, že kupní cenu Nemovitostí uhradí následujícím způsobem: </w:t>
      </w:r>
    </w:p>
    <w:p>
      <w:pPr>
        <w:pStyle w:val="ListNumber3"/>
        <w:numPr>
          <w:ilvl w:val="2"/>
          <w:numId w:val="18"/>
        </w:numPr>
        <w:rPr>
          <w:highlight w:val="yellow"/>
        </w:rPr>
      </w:pPr>
      <w:r>
        <w:rPr>
          <w:highlight w:val="yellow"/>
        </w:rPr>
        <w:t>první část kupní ceny ve výši (•),- Kč z vlastních zdrojů;</w:t>
      </w:r>
    </w:p>
    <w:p>
      <w:pPr>
        <w:pStyle w:val="ListNumber3"/>
        <w:numPr>
          <w:ilvl w:val="2"/>
          <w:numId w:val="19"/>
        </w:numPr>
        <w:rPr>
          <w:highlight w:val="yellow"/>
        </w:rPr>
      </w:pPr>
      <w:r>
        <w:rPr>
          <w:highlight w:val="yellow"/>
        </w:rPr>
        <w:t xml:space="preserve">druhou část kupní ceny ve výši </w:t>
      </w:r>
      <w:r>
        <w:rPr>
          <w:rFonts w:cs="Arial"/>
          <w:highlight w:val="yellow"/>
        </w:rPr>
        <w:t xml:space="preserve">(•),- </w:t>
      </w:r>
      <w:r>
        <w:rPr>
          <w:rFonts w:cs="Arial"/>
          <w:szCs w:val="20"/>
          <w:highlight w:val="yellow"/>
        </w:rPr>
        <w:t xml:space="preserve">Kč </w:t>
      </w:r>
      <w:r>
        <w:rPr>
          <w:highlight w:val="yellow"/>
        </w:rPr>
        <w:t>z prostředků hypotečního úvěru.</w:t>
      </w:r>
    </w:p>
    <w:p>
      <w:pPr>
        <w:pStyle w:val="ListNumber2"/>
        <w:numPr>
          <w:ilvl w:val="1"/>
          <w:numId w:val="20"/>
        </w:numPr>
        <w:spacing w:lineRule="auto" w:line="276"/>
        <w:rPr/>
      </w:pPr>
      <w:r>
        <w:rPr/>
        <w:t>Smluvní strany se dohodly, že Prodávající není povinen uzavřít Kupní smlouvu, pokud mu Zájemce neprokáže pravdivost prohlášení dle čl. 3.3. této Dohody.</w:t>
      </w:r>
    </w:p>
    <w:p>
      <w:pPr>
        <w:pStyle w:val="ListNumber2"/>
        <w:numPr>
          <w:ilvl w:val="1"/>
          <w:numId w:val="21"/>
        </w:numPr>
        <w:spacing w:lineRule="auto" w:line="276"/>
        <w:rPr/>
      </w:pPr>
      <w:r>
        <w:rPr/>
        <w:t>Zájemce prohlašuje, že měl možnost si Nemovitosti důkladně prohlédnout, a to případně i za účasti k tomu odborně způsobilé osoby, a jsou mu proto známy veškeré právní a faktické skutečnosti a vlastnosti Nemovitostí. Sjednaná kupní cena uvedená v této Smlouvě odpovídá faktickému a právnímu stavu Nemovitostí.</w:t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doba trvání této DOHODY</w:t>
      </w:r>
    </w:p>
    <w:p>
      <w:pPr>
        <w:pStyle w:val="ListNumber2"/>
        <w:numPr>
          <w:ilvl w:val="1"/>
          <w:numId w:val="22"/>
        </w:numPr>
        <w:rPr/>
      </w:pPr>
      <w:r>
        <w:rPr/>
        <w:t xml:space="preserve">Tato Dohoda je uzavřena na dobu určitou v délce trvání od uzavření této Dohody do dne </w:t>
      </w:r>
      <w:r>
        <w:rPr>
          <w:rFonts w:cs="Arial"/>
          <w:b/>
          <w:bCs/>
          <w:szCs w:val="20"/>
        </w:rPr>
        <w:t>30.11.2021</w:t>
      </w:r>
      <w:r>
        <w:rPr>
          <w:b/>
          <w:bCs/>
        </w:rPr>
        <w:t>.</w:t>
      </w:r>
    </w:p>
    <w:p>
      <w:pPr>
        <w:pStyle w:val="ListNumber2"/>
        <w:numPr>
          <w:ilvl w:val="1"/>
          <w:numId w:val="23"/>
        </w:numPr>
        <w:rPr/>
      </w:pPr>
      <w:r>
        <w:rPr/>
        <w:t>V případě, že Prodávající poruší svou povinnost uzavřít Kupní smlouvu nejpozději v poslední den trvání této Dohody, pak se zavazuje zajistit vrácení přijatého Blokovacího depozita na požádání zpět Zájemci a zároveň je povinen zaplatit Zájemci smluvní pokutu, jejíž výše odpovídá výši Blokovacího depozita dle čl. 2.1. této Dohody, a to vše nejpozději do pěti pracovních dnů od doručení písemné žádosti Zájemce.</w:t>
      </w:r>
    </w:p>
    <w:p>
      <w:pPr>
        <w:pStyle w:val="ListNumber2"/>
        <w:numPr>
          <w:ilvl w:val="1"/>
          <w:numId w:val="24"/>
        </w:numPr>
        <w:rPr/>
      </w:pPr>
      <w:r>
        <w:rPr/>
        <w:t xml:space="preserve">V případě, že Zájemce poruší svou povinnost uzavřít Kupní smlouvu dle článku 3.1. této Dohody nebo pokud se ukážou jeho prohlášení v článku 3.3. této Dohody jako nepravdivá, pak se zavazuje bezodkladně zaplatit Prodávajícímu smluvní pokutu, jejíž výše odpovídá výši Blokovacího depozita dle čl. 2.1. této Dohody. Prodávající a Zájemce pro tento případ berou na vědomí, že nárok Prodávajícího na úhradu smluvní pokuty může být a bude započten proti nároku Zájemce na vrácení Blokovacího depozita s tím, že oba nároky budou vypořádány započtením s účinky ke dni následujícímu po posledním dni trvání této Dohody, bez ohledu na splatnost obou nároků. </w:t>
        <w:tab/>
      </w:r>
    </w:p>
    <w:p>
      <w:pPr>
        <w:pStyle w:val="ListNumber2"/>
        <w:numPr>
          <w:ilvl w:val="0"/>
          <w:numId w:val="0"/>
        </w:numPr>
        <w:ind w:left="1191" w:hanging="0"/>
        <w:rPr>
          <w:rFonts w:cs="Arial"/>
          <w:bCs/>
          <w:szCs w:val="20"/>
          <w:highlight w:val="yellow"/>
        </w:rPr>
      </w:pPr>
      <w:r>
        <w:rPr/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POUČENÍ Smluvních stran ze strany realitní kanceláře</w:t>
      </w:r>
    </w:p>
    <w:p>
      <w:pPr>
        <w:pStyle w:val="ListNumber2"/>
        <w:numPr>
          <w:ilvl w:val="1"/>
          <w:numId w:val="25"/>
        </w:numPr>
        <w:rPr/>
      </w:pPr>
      <w:r>
        <w:rPr/>
        <w:t>Za účelem zajištění vysokého stupně ochrany klientů byla v rámci systému RE/MAX přijata závazná pravidla pro úschovu a vypořádání kupní ceny. Na základě těchto pravidel je Realitní kancelář RE/MAX oprávněna přijmout Blokovací depozitum pouze do výše své provize, a to pouze do doby uzavření Kupní smlouvy. Blokovací depozitum musí být uloženo na bankovním účtu odlišném od provozního účtu Realitní kanceláře RE/MAX. Veškeré peněžní prostředky Zájemce musí být uschovány a vypořádány prostřednictvím úschovy prováděné bankou nebo advokátní kanceláří, která se vůči síti realitních kanceláří RE/MAX smluvně zavázala dodržovat podmínky bezpečných úschov peněžních prostředků. Úschova peněžních prostředků u jiných subjektů je nepřípustná, ledaže Prodávající a Zájemce po předchozím poučení přesto trvají na realizaci úschovy kupní ceny u jiného subjektu a písemně potvrdí Realitní kanceláři RE/MAX, že se rozhodli nevyužít bezpečnou formu úschovy RE/MAX.</w:t>
      </w:r>
    </w:p>
    <w:p>
      <w:pPr>
        <w:pStyle w:val="ListNumber2"/>
        <w:numPr>
          <w:ilvl w:val="1"/>
          <w:numId w:val="26"/>
        </w:numPr>
        <w:rPr>
          <w:rFonts w:cs="Arial"/>
          <w:szCs w:val="20"/>
        </w:rPr>
      </w:pPr>
      <w:r>
        <w:rPr>
          <w:rFonts w:cs="Arial"/>
          <w:szCs w:val="20"/>
        </w:rPr>
        <w:t>Zájemce v souladu se zákonem č. 253/2008 Sb., o některých opatřeních proti legalizaci výnosů z trestné činnosti a financování terorismu, v platném znění (dále jen „</w:t>
      </w:r>
      <w:r>
        <w:rPr>
          <w:rFonts w:cs="Arial"/>
          <w:b/>
          <w:szCs w:val="20"/>
        </w:rPr>
        <w:t>AML zákon</w:t>
      </w:r>
      <w:r>
        <w:rPr>
          <w:rFonts w:cs="Arial"/>
          <w:szCs w:val="20"/>
        </w:rPr>
        <w:t xml:space="preserve">“), čestně prohlašuje, že není politicky exponovanou osobou ve smyslu § 4 odst. 5 AML zákona, že peněžní prostředky Blokovacího depozita, které mají být složeny k rukám Realitní kanceláře RE/MAX nepocházejí z nepoctivých a/nebo nezákonných zdrojů, zejména z trestné činnosti nebo financování terorismu, tyto peněžní prostředky nabyl Zájemce v souladu s právními předpisy a že úhradou kupní ceny a koupí Nemovitostí nesleduje zakrytí nezákonného původu tohoto majetku ani financování terorismu.  </w:t>
      </w:r>
    </w:p>
    <w:p>
      <w:pPr>
        <w:pStyle w:val="ListNumber2"/>
        <w:numPr>
          <w:ilvl w:val="1"/>
          <w:numId w:val="27"/>
        </w:numPr>
        <w:rPr>
          <w:rFonts w:cs="Arial"/>
          <w:szCs w:val="20"/>
        </w:rPr>
      </w:pPr>
      <w:r>
        <w:rPr>
          <w:rFonts w:cs="Arial"/>
          <w:szCs w:val="20"/>
        </w:rPr>
        <w:t>Zájemce při uzavření této Dohody vyplnil AML dotazník a potvrzuje, že všechny uvedené údaje jsou úplné a pravdivé a že nezamlčel žádné údaje, které mu jsou nebo mohou být známy. Prodávající potvrzuje, že ke dni uzavření této Dohody u něj nedošlo k žádným změnám ohledně identifikačních údajů a údajů zjišťovaných dle AML zákona.</w:t>
      </w:r>
    </w:p>
    <w:p>
      <w:pPr>
        <w:pStyle w:val="ListNumber2"/>
        <w:numPr>
          <w:ilvl w:val="0"/>
          <w:numId w:val="0"/>
        </w:numPr>
        <w:ind w:left="1191" w:hanging="0"/>
        <w:rPr>
          <w:szCs w:val="20"/>
        </w:rPr>
      </w:pPr>
      <w:r>
        <w:rPr>
          <w:szCs w:val="20"/>
        </w:rPr>
      </w:r>
    </w:p>
    <w:p>
      <w:pPr>
        <w:pStyle w:val="ListNumber2"/>
        <w:numPr>
          <w:ilvl w:val="1"/>
          <w:numId w:val="28"/>
        </w:numPr>
        <w:rPr>
          <w:szCs w:val="20"/>
        </w:rPr>
      </w:pPr>
      <w:r>
        <w:rPr>
          <w:szCs w:val="20"/>
        </w:rPr>
        <w:t>Zájemce potvrzuje, že při podpisu této Dohody obdržel výpis z katastru nemovitostí ohledně Nemovitostí, vyhotovený nikoli dříve než tři pracovní dny přede dnem uzavření této Dohody, jakož dále potvrzuje, že mu byly poskytnuty informace o konkrétních závadách a omezeních váznoucích na Nemovitostech.</w:t>
      </w:r>
    </w:p>
    <w:p>
      <w:pPr>
        <w:pStyle w:val="ListNumber2"/>
        <w:numPr>
          <w:ilvl w:val="1"/>
          <w:numId w:val="29"/>
        </w:numPr>
        <w:rPr>
          <w:szCs w:val="20"/>
        </w:rPr>
      </w:pPr>
      <w:r>
        <w:rPr>
          <w:rFonts w:cs="Arial"/>
          <w:szCs w:val="20"/>
        </w:rPr>
        <w:t>Dojde-li dle této Dohody ke sporu s Realitní kanceláří RE/MAX, který se nepodaří vyřešit vzájemnou dohodou,</w:t>
      </w:r>
      <w:r>
        <w:rPr/>
        <w:t xml:space="preserve"> mají Zájemce a/nebo Prodávající právo na jeho mimosoudní řešení. Návrh na mimosoudní řešení sporu podle zákona č. 634/1992 Sb., o ochraně spotřebitele, podá Zájemce a/nebo Prodávající u České obchodní inspekce. Veškeré podrobnosti k mimosoudnímu řešení jsou uvedeny na internetových stránkách České obchodní inspekce na adrese www.coi.cz.</w:t>
      </w:r>
    </w:p>
    <w:p>
      <w:pPr>
        <w:pStyle w:val="Nadpis2"/>
        <w:spacing w:lineRule="auto" w:line="276"/>
        <w:rPr>
          <w:szCs w:val="20"/>
        </w:rPr>
      </w:pPr>
      <w:r>
        <w:rPr>
          <w:szCs w:val="20"/>
        </w:rPr>
        <w:t>Závěrečná ustanovení</w:t>
      </w:r>
    </w:p>
    <w:p>
      <w:pPr>
        <w:pStyle w:val="ListNumber2"/>
        <w:widowControl w:val="false"/>
        <w:numPr>
          <w:ilvl w:val="1"/>
          <w:numId w:val="30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 xml:space="preserve">Tato Dohoda je vyhotovena ve </w:t>
      </w:r>
      <w:r>
        <w:rPr>
          <w:rFonts w:cs="Arial"/>
          <w:bCs/>
          <w:szCs w:val="20"/>
        </w:rPr>
        <w:t>třech</w:t>
      </w:r>
      <w:r>
        <w:rPr>
          <w:rFonts w:cs="Arial"/>
          <w:szCs w:val="20"/>
        </w:rPr>
        <w:t xml:space="preserve"> vyhotoveních, z nichž po podepsání Smluvními stranami každá Smluvní strana obdrží po jednom z nich a jedno vyhotovení obdrží Realitní kancelář RE/MAX.  </w:t>
      </w:r>
    </w:p>
    <w:p>
      <w:pPr>
        <w:pStyle w:val="ListNumber2"/>
        <w:widowControl w:val="false"/>
        <w:numPr>
          <w:ilvl w:val="1"/>
          <w:numId w:val="31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 xml:space="preserve">Tato Dohoda je účinná a závazná dnem jejího podpisu všemi Smluvními stranami. </w:t>
      </w:r>
    </w:p>
    <w:p>
      <w:pPr>
        <w:pStyle w:val="ListNumber2"/>
        <w:numPr>
          <w:ilvl w:val="1"/>
          <w:numId w:val="32"/>
        </w:numPr>
        <w:rPr>
          <w:rFonts w:eastAsia="MS Mincho"/>
        </w:rPr>
      </w:pPr>
      <w:r>
        <w:rPr>
          <w:rFonts w:eastAsia="MS Mincho"/>
        </w:rPr>
        <w:t xml:space="preserve">Tato Dohoda, jakož i práva a povinnosti vzniklé na základě této Smlouvy nebo v souvislosti s ní, se řídí zákonem č. 89/2012 Sb., občanský zákoník, v aktuálním znění, zákonem </w:t>
      </w:r>
      <w:r>
        <w:rPr>
          <w:rFonts w:cs="Arial"/>
          <w:szCs w:val="20"/>
        </w:rPr>
        <w:t xml:space="preserve">č. 39/2020 Sb., o realitním zprostředkování a o změně souvisejících zákonů (zákon o realitním zprostředkování), v aktuálním znění, </w:t>
      </w:r>
      <w:r>
        <w:rPr>
          <w:rFonts w:eastAsia="MS Mincho"/>
        </w:rPr>
        <w:t>a ostatními právními předpisy České republiky.</w:t>
      </w:r>
    </w:p>
    <w:p>
      <w:pPr>
        <w:pStyle w:val="ListNumber2"/>
        <w:widowControl w:val="false"/>
        <w:numPr>
          <w:ilvl w:val="1"/>
          <w:numId w:val="33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Tuto Dohodu lze měnit pouze na základě písemných dodatků, které budou jako takové označeny, očíslovány a podepsány Smluvními stranami.</w:t>
      </w:r>
    </w:p>
    <w:p>
      <w:pPr>
        <w:pStyle w:val="ListNumber2"/>
        <w:widowControl w:val="false"/>
        <w:numPr>
          <w:ilvl w:val="1"/>
          <w:numId w:val="34"/>
        </w:numPr>
        <w:spacing w:lineRule="auto" w:line="276"/>
        <w:rPr/>
      </w:pPr>
      <w:r>
        <w:rPr/>
        <w:t>Smluvní strany prohlašují, že si tuto Dohodu přečetly, že odpovídá jejich vlastní, svobodné a vážně míněné vůli a že obsahuje úplné ujednání o předmětu Dohody a všech náležitostech, které strany měly a chtěly v Dohodě ujednat, a které považují za důležité pro závaznost této Dohody.</w:t>
      </w:r>
    </w:p>
    <w:p>
      <w:pPr>
        <w:pStyle w:val="ListNumber2"/>
        <w:widowControl w:val="false"/>
        <w:numPr>
          <w:ilvl w:val="1"/>
          <w:numId w:val="35"/>
        </w:numPr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Přílohou této Dohody jsou:</w:t>
      </w:r>
    </w:p>
    <w:p>
      <w:pPr>
        <w:pStyle w:val="ListNumber2"/>
        <w:widowControl w:val="false"/>
        <w:numPr>
          <w:ilvl w:val="0"/>
          <w:numId w:val="0"/>
        </w:numPr>
        <w:spacing w:lineRule="auto" w:line="276"/>
        <w:ind w:left="1191" w:hanging="0"/>
        <w:rPr>
          <w:rFonts w:cs="Arial"/>
          <w:szCs w:val="20"/>
        </w:rPr>
      </w:pPr>
      <w:r>
        <w:rPr>
          <w:rFonts w:cs="Arial"/>
          <w:szCs w:val="20"/>
        </w:rPr>
        <w:tab/>
        <w:tab/>
        <w:tab/>
        <w:t xml:space="preserve">1) </w:t>
      </w:r>
      <w:r>
        <w:rPr>
          <w:rFonts w:cs="Arial"/>
          <w:szCs w:val="20"/>
        </w:rPr>
        <w:t>LV č. 553</w:t>
      </w:r>
    </w:p>
    <w:p>
      <w:pPr>
        <w:pStyle w:val="ListNumber2"/>
        <w:widowControl w:val="false"/>
        <w:numPr>
          <w:ilvl w:val="0"/>
          <w:numId w:val="0"/>
        </w:numPr>
        <w:spacing w:lineRule="auto" w:line="276"/>
        <w:ind w:left="1191" w:hanging="0"/>
        <w:rPr>
          <w:rFonts w:cs="Arial"/>
          <w:szCs w:val="20"/>
        </w:rPr>
      </w:pPr>
      <w:r>
        <w:rPr>
          <w:rFonts w:cs="Arial"/>
          <w:szCs w:val="20"/>
        </w:rPr>
        <w:tab/>
        <w:tab/>
        <w:tab/>
        <w:t>3) AML dotazník</w:t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>
        <w:rPr>
          <w:rFonts w:cs="Arial"/>
        </w:rPr>
        <w:t>(</w:t>
      </w:r>
      <w:r>
        <w:rPr>
          <w:rFonts w:cs="Arial"/>
          <w:highlight w:val="yellow"/>
        </w:rPr>
        <w:t>•</w:t>
      </w:r>
      <w:r>
        <w:rPr>
          <w:rFonts w:cs="Arial"/>
        </w:rPr>
        <w:t xml:space="preserve">) </w:t>
      </w:r>
      <w:r>
        <w:rPr>
          <w:rFonts w:cs="Arial"/>
          <w:szCs w:val="20"/>
        </w:rPr>
        <w:t xml:space="preserve">dne </w:t>
      </w:r>
      <w:r>
        <w:rPr>
          <w:rFonts w:cs="Arial"/>
          <w:bCs/>
          <w:szCs w:val="20"/>
        </w:rPr>
        <w:t>(</w:t>
      </w:r>
      <w:r>
        <w:rPr>
          <w:rFonts w:cs="Arial"/>
          <w:bCs/>
          <w:szCs w:val="20"/>
          <w:highlight w:val="yellow"/>
        </w:rPr>
        <w:t>•</w:t>
      </w:r>
      <w:r>
        <w:rPr>
          <w:rFonts w:cs="Arial"/>
          <w:bCs/>
          <w:szCs w:val="20"/>
        </w:rPr>
        <w:t xml:space="preserve">) </w:t>
      </w:r>
      <w:r>
        <w:rPr>
          <w:rFonts w:cs="Arial"/>
          <w:szCs w:val="20"/>
        </w:rPr>
        <w:t>20</w:t>
      </w:r>
      <w:r>
        <w:rPr>
          <w:rFonts w:cs="Arial"/>
          <w:bCs/>
          <w:szCs w:val="20"/>
        </w:rPr>
        <w:t>(</w:t>
      </w:r>
      <w:r>
        <w:rPr>
          <w:rFonts w:cs="Arial"/>
          <w:bCs/>
          <w:szCs w:val="20"/>
          <w:highlight w:val="yellow"/>
        </w:rPr>
        <w:t>•</w:t>
      </w:r>
      <w:r>
        <w:rPr>
          <w:rFonts w:cs="Arial"/>
          <w:bCs/>
          <w:szCs w:val="20"/>
        </w:rPr>
        <w:t>)</w:t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________________________</w:t>
        <w:tab/>
        <w:tab/>
        <w:tab/>
        <w:tab/>
        <w:t>________________________</w:t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(</w:t>
      </w:r>
      <w:r>
        <w:rPr>
          <w:rFonts w:cs="Arial"/>
          <w:b/>
          <w:szCs w:val="20"/>
          <w:highlight w:val="yellow"/>
        </w:rPr>
        <w:t>Titul, Jméno, Příjmení Zájemce</w:t>
      </w:r>
      <w:r>
        <w:rPr>
          <w:rFonts w:cs="Arial"/>
          <w:szCs w:val="20"/>
        </w:rPr>
        <w:t>)</w:t>
        <w:tab/>
        <w:tab/>
        <w:tab/>
        <w:t>(</w:t>
      </w:r>
      <w:r>
        <w:rPr>
          <w:rFonts w:cs="Arial"/>
          <w:b/>
          <w:szCs w:val="20"/>
          <w:highlight w:val="yellow"/>
        </w:rPr>
        <w:t>Titul, Jméno, Příjmení Prodávajícího</w:t>
      </w:r>
      <w:r>
        <w:rPr>
          <w:rFonts w:cs="Arial"/>
          <w:szCs w:val="20"/>
        </w:rPr>
        <w:t>)</w:t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Realitní kancelář RE/MAX bere výše uvedenou Smlouvu na vědomí:</w:t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widowControl w:val="false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lineRule="auto" w:line="276"/>
        <w:rPr>
          <w:rFonts w:cs="Arial"/>
          <w:szCs w:val="20"/>
        </w:rPr>
      </w:pPr>
      <w:r>
        <w:rPr>
          <w:rFonts w:cs="Arial"/>
          <w:szCs w:val="20"/>
        </w:rPr>
        <w:t>________________________</w:t>
        <w:tab/>
        <w:t xml:space="preserve"> </w:t>
      </w:r>
    </w:p>
    <w:p>
      <w:pPr>
        <w:pStyle w:val="Normal"/>
        <w:spacing w:lineRule="auto" w:line="276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>(</w:t>
      </w:r>
      <w:r>
        <w:rPr>
          <w:rFonts w:cs="Arial"/>
          <w:b/>
          <w:szCs w:val="20"/>
          <w:highlight w:val="yellow"/>
        </w:rPr>
        <w:t>Obchodní firma Realitní kanceláře RE/MAX</w:t>
      </w:r>
      <w:r>
        <w:rPr>
          <w:rFonts w:cs="Arial"/>
          <w:szCs w:val="20"/>
          <w:highlight w:val="yellow"/>
        </w:rPr>
        <w:t>)</w:t>
        <w:tab/>
        <w:tab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>
          <w:rFonts w:cs="Arial"/>
          <w:szCs w:val="20"/>
          <w:highlight w:val="yellow"/>
        </w:rPr>
        <w:t>NEBO na základě plné moci</w:t>
      </w:r>
      <w:r>
        <w:rPr>
          <w:rFonts w:cs="Arial"/>
          <w:szCs w:val="20"/>
        </w:rPr>
        <w:tab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8085" cy="872109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872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rFonts w:cs="Arial"/>
          <w:bCs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70625" cy="886396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64898729"/>
    </w:sdtPr>
    <w:sdtContent>
      <w:p>
        <w:pPr>
          <w:pStyle w:val="Zpat"/>
          <w:jc w:val="right"/>
          <w:rPr/>
        </w:pPr>
        <w:r>
          <w:rPr>
            <w:sz w:val="16"/>
            <w:szCs w:val="16"/>
          </w:rPr>
          <w:t xml:space="preserve">Stránka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</w:rPr>
          <w:instrText> PAGE </w:instrText>
        </w:r>
        <w:r>
          <w:rPr>
            <w:sz w:val="16"/>
            <w:b/>
            <w:szCs w:val="16"/>
            <w:bCs/>
          </w:rPr>
          <w:fldChar w:fldCharType="separate"/>
        </w:r>
        <w:r>
          <w:rPr>
            <w:sz w:val="16"/>
            <w:b/>
            <w:szCs w:val="16"/>
            <w:bCs/>
          </w:rPr>
          <w:t>6</w:t>
        </w:r>
        <w:r>
          <w:rPr>
            <w:sz w:val="16"/>
            <w:b/>
            <w:szCs w:val="16"/>
            <w:bCs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</w:rPr>
          <w:instrText> NUMPAGES </w:instrText>
        </w:r>
        <w:r>
          <w:rPr>
            <w:sz w:val="16"/>
            <w:b/>
            <w:szCs w:val="16"/>
            <w:bCs/>
          </w:rPr>
          <w:fldChar w:fldCharType="separate"/>
        </w:r>
        <w:r>
          <w:rPr>
            <w:sz w:val="16"/>
            <w:b/>
            <w:szCs w:val="16"/>
            <w:bCs/>
          </w:rPr>
          <w:t>6</w:t>
        </w:r>
        <w:r>
          <w:rPr>
            <w:sz w:val="16"/>
            <w:b/>
            <w:szCs w:val="16"/>
            <w:bCs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sz w:val="20"/>
        <w:i w:val="false"/>
        <w:b/>
        <w:szCs w:val="20"/>
        <w:bCs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850"/>
      </w:pPr>
      <w:rPr>
        <w:sz w:val="20"/>
        <w:i w:val="false"/>
        <w:b/>
        <w:szCs w:val="20"/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b/>
        <w:bCs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b/>
        <w:bCs/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sz w:val="20"/>
        <w:i w:val="false"/>
        <w:b/>
        <w:szCs w:val="20"/>
        <w:bCs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850"/>
      </w:pPr>
      <w:rPr>
        <w:sz w:val="20"/>
        <w:i w:val="false"/>
        <w:b/>
        <w:szCs w:val="20"/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6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7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9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1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2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3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5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1191"/>
          </w:tabs>
          <w:ind w:left="1191" w:hanging="681"/>
        </w:pPr>
        <w:rPr>
          <w:sz w:val="20"/>
          <w:i w:val="false"/>
          <w:b/>
          <w:szCs w:val="20"/>
          <w:bCs/>
          <w:rFonts w:ascii="Arial" w:hAnsi="Arial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7"/>
          </w:tabs>
          <w:ind w:left="2127" w:hanging="850"/>
        </w:pPr>
        <w:rPr>
          <w:sz w:val="20"/>
          <w:i w:val="false"/>
          <w:b/>
          <w:szCs w:val="20"/>
          <w:rFonts w:ascii="Arial" w:hAnsi="Aria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i w:val="false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i w:val="false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formatting="1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05944"/>
    <w:pPr>
      <w:widowControl/>
      <w:bidi w:val="0"/>
      <w:spacing w:lineRule="auto" w:line="290" w:before="0" w:after="0"/>
      <w:jc w:val="both"/>
    </w:pPr>
    <w:rPr>
      <w:rFonts w:ascii="Arial" w:hAnsi="Arial" w:eastAsia="Times New Roman" w:cs="Times New Roman"/>
      <w:color w:val="auto"/>
      <w:kern w:val="0"/>
      <w:sz w:val="20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rsid w:val="00c17266"/>
    <w:pPr>
      <w:keepNext w:val="true"/>
      <w:spacing w:lineRule="atLeast" w:line="240" w:before="120" w:after="0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al"/>
    <w:next w:val="Normal"/>
    <w:qFormat/>
    <w:rsid w:val="001223a5"/>
    <w:pPr>
      <w:keepNext w:val="true"/>
      <w:numPr>
        <w:ilvl w:val="0"/>
        <w:numId w:val="1"/>
      </w:numPr>
      <w:spacing w:before="240" w:after="240"/>
      <w:outlineLvl w:val="0"/>
    </w:pPr>
    <w:rPr>
      <w:rFonts w:cs="Arial"/>
      <w:b/>
      <w:bCs/>
      <w:iCs/>
      <w:cap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8e761a"/>
    <w:rPr>
      <w:sz w:val="16"/>
    </w:rPr>
  </w:style>
  <w:style w:type="character" w:styleId="Platne" w:customStyle="1">
    <w:name w:val="platne"/>
    <w:basedOn w:val="DefaultParagraphFont"/>
    <w:qFormat/>
    <w:rsid w:val="00257f88"/>
    <w:rPr/>
  </w:style>
  <w:style w:type="character" w:styleId="Slovanseznam2Char" w:customStyle="1">
    <w:name w:val="Číslovaný seznam 2 Char"/>
    <w:link w:val="slovanseznam2"/>
    <w:qFormat/>
    <w:rsid w:val="00e57bb4"/>
    <w:rPr>
      <w:rFonts w:ascii="Arial" w:hAnsi="Arial"/>
      <w:szCs w:val="22"/>
    </w:rPr>
  </w:style>
  <w:style w:type="character" w:styleId="Styl" w:customStyle="1">
    <w:name w:val="Styl"/>
    <w:basedOn w:val="Annotationreference"/>
    <w:qFormat/>
    <w:rsid w:val="00900975"/>
    <w:rPr>
      <w:rFonts w:ascii="Times New Roman" w:hAnsi="Times New Roman"/>
      <w:sz w:val="16"/>
      <w:lang w:val="cs-CZ"/>
    </w:rPr>
  </w:style>
  <w:style w:type="character" w:styleId="StylOdkaznakomentTimesNewRoman" w:customStyle="1">
    <w:name w:val="Styl Odkaz na komentář + Times New Roman"/>
    <w:basedOn w:val="Annotationreference"/>
    <w:qFormat/>
    <w:rsid w:val="00900975"/>
    <w:rPr>
      <w:rFonts w:ascii="Times New Roman" w:hAnsi="Times New Roman"/>
      <w:sz w:val="16"/>
      <w:lang w:val="cs-CZ"/>
    </w:rPr>
  </w:style>
  <w:style w:type="character" w:styleId="TextkomenteChar" w:customStyle="1">
    <w:name w:val="Text komentáře Char"/>
    <w:link w:val="Textkomente"/>
    <w:semiHidden/>
    <w:qFormat/>
    <w:rsid w:val="00464bb3"/>
    <w:rPr>
      <w:rFonts w:eastAsia="SimSun"/>
      <w:lang w:val="en-US" w:eastAsia="zh-CN"/>
    </w:rPr>
  </w:style>
  <w:style w:type="character" w:styleId="Strong">
    <w:name w:val="Strong"/>
    <w:basedOn w:val="DefaultParagraphFont"/>
    <w:uiPriority w:val="22"/>
    <w:qFormat/>
    <w:rsid w:val="00b45305"/>
    <w:rPr>
      <w:b/>
      <w:bCs/>
    </w:rPr>
  </w:style>
  <w:style w:type="character" w:styleId="ZpatChar" w:customStyle="1">
    <w:name w:val="Zápatí Char"/>
    <w:basedOn w:val="DefaultParagraphFont"/>
    <w:link w:val="Zpat"/>
    <w:uiPriority w:val="99"/>
    <w:qFormat/>
    <w:rsid w:val="005c5455"/>
    <w:rPr>
      <w:rFonts w:ascii="Arial" w:hAnsi="Arial"/>
      <w:szCs w:val="22"/>
    </w:rPr>
  </w:style>
  <w:style w:type="character" w:styleId="Nowrap" w:customStyle="1">
    <w:name w:val="nowrap"/>
    <w:basedOn w:val="DefaultParagraphFont"/>
    <w:qFormat/>
    <w:rsid w:val="007b0e21"/>
    <w:rPr/>
  </w:style>
  <w:style w:type="character" w:styleId="ZkladntextChar" w:customStyle="1">
    <w:name w:val="Základní text Char"/>
    <w:basedOn w:val="DefaultParagraphFont"/>
    <w:link w:val="Zkladntext"/>
    <w:qFormat/>
    <w:rsid w:val="000b3c8d"/>
    <w:rPr>
      <w:sz w:val="24"/>
    </w:rPr>
  </w:style>
  <w:style w:type="character" w:styleId="ZhlavChar" w:customStyle="1">
    <w:name w:val="Záhlaví Char"/>
    <w:link w:val="Zhlav"/>
    <w:uiPriority w:val="99"/>
    <w:qFormat/>
    <w:rsid w:val="00854da6"/>
    <w:rPr>
      <w:rFonts w:ascii="Arial" w:hAnsi="Arial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0b3c8d"/>
    <w:pPr>
      <w:spacing w:lineRule="auto" w:line="312"/>
    </w:pPr>
    <w:rPr>
      <w:rFonts w:ascii="Times New Roman" w:hAnsi="Times New Roman"/>
      <w:sz w:val="24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Number2">
    <w:name w:val="List Number 2"/>
    <w:basedOn w:val="Normal"/>
    <w:link w:val="slovanseznam2Char"/>
    <w:qFormat/>
    <w:rsid w:val="001223a5"/>
    <w:pPr>
      <w:numPr>
        <w:ilvl w:val="0"/>
        <w:numId w:val="2"/>
      </w:numPr>
      <w:spacing w:before="0" w:after="120"/>
    </w:pPr>
    <w:rPr/>
  </w:style>
  <w:style w:type="paragraph" w:styleId="ListNumber3">
    <w:name w:val="List Number 3"/>
    <w:basedOn w:val="Normal"/>
    <w:qFormat/>
    <w:rsid w:val="001223a5"/>
    <w:pPr>
      <w:numPr>
        <w:ilvl w:val="0"/>
        <w:numId w:val="2"/>
      </w:numPr>
      <w:spacing w:before="0" w:after="60"/>
    </w:pPr>
    <w:rPr/>
  </w:style>
  <w:style w:type="paragraph" w:styleId="ListNumber4">
    <w:name w:val="List Number 4"/>
    <w:basedOn w:val="Normal"/>
    <w:qFormat/>
    <w:rsid w:val="001223a5"/>
    <w:pPr>
      <w:numPr>
        <w:ilvl w:val="0"/>
        <w:numId w:val="2"/>
      </w:numPr>
      <w:spacing w:before="0" w:after="60"/>
    </w:pPr>
    <w:rPr/>
  </w:style>
  <w:style w:type="paragraph" w:styleId="Stylslovanseznam3Za3b" w:customStyle="1">
    <w:name w:val="Styl Číslovaný seznam 3 + Za:  3 b."/>
    <w:basedOn w:val="ListNumber3"/>
    <w:qFormat/>
    <w:rsid w:val="00765d29"/>
    <w:pPr>
      <w:numPr>
        <w:ilvl w:val="0"/>
        <w:numId w:val="0"/>
      </w:numPr>
    </w:pPr>
    <w:rPr>
      <w:szCs w:val="20"/>
    </w:rPr>
  </w:style>
  <w:style w:type="paragraph" w:styleId="NormalWeb">
    <w:name w:val="Normal (Web)"/>
    <w:basedOn w:val="Normal"/>
    <w:uiPriority w:val="99"/>
    <w:qFormat/>
    <w:rsid w:val="0010612f"/>
    <w:pPr/>
    <w:rPr>
      <w:rFonts w:ascii="Times New Roman" w:hAnsi="Times New Roman"/>
      <w:sz w:val="24"/>
      <w:szCs w:val="24"/>
    </w:rPr>
  </w:style>
  <w:style w:type="paragraph" w:styleId="Zkladntext21" w:customStyle="1">
    <w:name w:val="Základní text 21"/>
    <w:basedOn w:val="Normal"/>
    <w:qFormat/>
    <w:rsid w:val="004b5e6e"/>
    <w:pPr>
      <w:widowControl w:val="false"/>
      <w:ind w:firstLine="708"/>
    </w:pPr>
    <w:rPr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4b5e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4b5e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0761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semiHidden/>
    <w:qFormat/>
    <w:rsid w:val="00471a2a"/>
    <w:pPr>
      <w:spacing w:lineRule="auto" w:line="240"/>
      <w:jc w:val="left"/>
    </w:pPr>
    <w:rPr>
      <w:rFonts w:ascii="Times New Roman" w:hAnsi="Times New Roman" w:eastAsia="SimSun"/>
      <w:szCs w:val="20"/>
      <w:lang w:val="en-US" w:eastAsia="zh-CN"/>
    </w:rPr>
  </w:style>
  <w:style w:type="paragraph" w:styleId="Annotationsubject">
    <w:name w:val="annotation subject"/>
    <w:basedOn w:val="Annotationtext"/>
    <w:next w:val="Annotationtext"/>
    <w:semiHidden/>
    <w:qFormat/>
    <w:rsid w:val="00ba0795"/>
    <w:pPr>
      <w:spacing w:lineRule="auto" w:line="290"/>
      <w:jc w:val="both"/>
    </w:pPr>
    <w:rPr>
      <w:rFonts w:ascii="Arial" w:hAnsi="Arial" w:eastAsia="Times New Roman"/>
      <w:b/>
      <w:bCs/>
      <w:lang w:eastAsia="cs-CZ"/>
    </w:rPr>
  </w:style>
  <w:style w:type="paragraph" w:styleId="Slovanseznam21" w:customStyle="1">
    <w:name w:val="Číslovaný seznam 21"/>
    <w:basedOn w:val="Normal"/>
    <w:qFormat/>
    <w:rsid w:val="00a7590f"/>
    <w:pPr>
      <w:numPr>
        <w:ilvl w:val="0"/>
        <w:numId w:val="3"/>
      </w:numPr>
      <w:suppressAutoHyphens w:val="true"/>
      <w:spacing w:lineRule="auto" w:line="288" w:before="0" w:after="12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856f8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61f9c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cs-CZ" w:eastAsia="cs-CZ" w:bidi="ar-SA"/>
    </w:rPr>
  </w:style>
  <w:style w:type="paragraph" w:styleId="Revision">
    <w:name w:val="Revision"/>
    <w:uiPriority w:val="99"/>
    <w:semiHidden/>
    <w:qFormat/>
    <w:rsid w:val="00f54315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cs-CZ" w:eastAsia="cs-CZ" w:bidi="ar-SA"/>
    </w:rPr>
  </w:style>
  <w:style w:type="paragraph" w:styleId="StyleHeading112ptCenteredLeft002cm" w:customStyle="1">
    <w:name w:val="Style Heading 1 + 12 pt Centered Left:  002 cm"/>
    <w:basedOn w:val="Nadpis1"/>
    <w:qFormat/>
    <w:rsid w:val="00f54315"/>
    <w:pPr>
      <w:spacing w:lineRule="auto" w:line="240" w:before="240" w:after="360"/>
    </w:pPr>
    <w:rPr>
      <w:rFonts w:ascii="Times New Roman" w:hAnsi="Times New Roman"/>
      <w:b w:val="false"/>
      <w:sz w:val="24"/>
      <w:szCs w:val="24"/>
      <w:lang w:eastAsia="en-GB"/>
    </w:rPr>
  </w:style>
  <w:style w:type="paragraph" w:styleId="StyleStyleHeading2TimesNewRoman12ptBefore5ptAfte1" w:customStyle="1">
    <w:name w:val="Style Style Heading 2 + Times New Roman 12 pt + Before:  5 pt Afte...1"/>
    <w:basedOn w:val="Normal"/>
    <w:qFormat/>
    <w:rsid w:val="00f54315"/>
    <w:pPr>
      <w:keepNext w:val="true"/>
      <w:spacing w:lineRule="auto" w:line="240" w:before="100" w:after="100"/>
      <w:outlineLvl w:val="1"/>
    </w:pPr>
    <w:rPr>
      <w:rFonts w:ascii="Times New Roman" w:hAnsi="Times New Roman"/>
      <w:iCs/>
      <w:sz w:val="24"/>
      <w:szCs w:val="20"/>
      <w:lang w:eastAsia="en-GB"/>
    </w:rPr>
  </w:style>
  <w:style w:type="paragraph" w:styleId="StyleStyle12ptBefore5ptAfter5ptLeft0cmFirstl" w:customStyle="1">
    <w:name w:val="Style Style 12 pt Before:  5 pt After:  5 pt + Left:  0 cm First l..."/>
    <w:basedOn w:val="Normal"/>
    <w:uiPriority w:val="99"/>
    <w:qFormat/>
    <w:rsid w:val="00854da6"/>
    <w:pPr>
      <w:spacing w:lineRule="auto" w:line="240" w:before="100" w:after="100"/>
      <w:jc w:val="left"/>
    </w:pPr>
    <w:rPr>
      <w:rFonts w:ascii="Times New Roman" w:hAnsi="Times New Roman"/>
      <w:sz w:val="24"/>
      <w:szCs w:val="2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VcerovovTun" w:customStyle="1">
    <w:name w:val="Styl Víceúrovňové Tučné"/>
    <w:qFormat/>
    <w:rsid w:val="004e33e9"/>
  </w:style>
  <w:style w:type="numbering" w:styleId="StylStylVcerovovTunVcerovovArialTun" w:customStyle="1">
    <w:name w:val="Styl Styl Víceúrovňové Tučné + Víceúrovňové Arial Tučné"/>
    <w:qFormat/>
    <w:rsid w:val="004e33e9"/>
  </w:style>
  <w:style w:type="numbering" w:styleId="StylslovnTun" w:customStyle="1">
    <w:name w:val="Styl Číslování Tučné"/>
    <w:qFormat/>
    <w:rsid w:val="00a65ab0"/>
  </w:style>
  <w:style w:type="numbering" w:styleId="StylStylslovnTunVcerovov" w:customStyle="1">
    <w:name w:val="Styl Styl Číslování Tučné + Víceúrovňové"/>
    <w:qFormat/>
    <w:rsid w:val="00a65ab0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4b5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BA25-EAE3-4087-B896-48E09577B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3AAE2-6C73-422C-B172-1F1DAA3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6</Pages>
  <Words>1499</Words>
  <Characters>8661</Characters>
  <CharactersWithSpaces>10083</CharactersWithSpaces>
  <Paragraphs>70</Paragraphs>
  <Company>Vlastislav Andrš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2021-08-16T11:41:00Z</dcterms:created>
  <dc:creator>121</dc:creator>
  <dc:description/>
  <dc:language>cs-CZ</dc:language>
  <cp:lastModifiedBy/>
  <cp:lastPrinted>2020-02-20T09:54:00Z</cp:lastPrinted>
  <dcterms:modified xsi:type="dcterms:W3CDTF">2021-09-30T07:54:41Z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